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126" w:tblpY="604"/>
        <w:tblOverlap w:val="never"/>
        <w:tblW w:w="156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0"/>
        <w:gridCol w:w="2040"/>
        <w:gridCol w:w="690"/>
        <w:gridCol w:w="10425"/>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1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腔镜器械一批</w:t>
            </w:r>
          </w:p>
        </w:tc>
        <w:tc>
          <w:tcPr>
            <w:tcW w:w="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1批</w:t>
            </w:r>
          </w:p>
        </w:tc>
        <w:tc>
          <w:tcPr>
            <w:tcW w:w="10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详见明细表</w:t>
            </w:r>
          </w:p>
        </w:tc>
        <w:tc>
          <w:tcPr>
            <w:tcW w:w="1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"1  腔镜器械一批.xlsx"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1  腔镜器械一批.xlsx</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540" w:type="dxa"/>
            <w:tcBorders>
              <w:top w:val="single" w:color="auto"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04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输血输液加压仪</w:t>
            </w:r>
          </w:p>
        </w:tc>
        <w:tc>
          <w:tcPr>
            <w:tcW w:w="69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042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1.自动加压，无需外置加压泵和机械压力柱。</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2.主机内置压力自动保护与监控装置，工作状态中可以进行快速放气与充气，保持压力值稳定，无需配置具有机械压力柱的加压袋。</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 内置充电电池供电。</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 屏幕实时显示电量图标，提示电量状态。</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 一键暂停，自动泄压。</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6、具有多重保护报警功能，有过压报警提醒声音和屏幕显示。</w:t>
            </w:r>
          </w:p>
        </w:tc>
        <w:tc>
          <w:tcPr>
            <w:tcW w:w="1923" w:type="dxa"/>
            <w:tcBorders>
              <w:top w:val="single" w:color="auto"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电流感觉阈值检测仪（CPT)感觉神经定量检测仪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1.具有全自动、半自动和手动测试模式以及双盲和单盲测试方法的感觉神经传导阈值检测仪。</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2.内建神经选择性的感觉神经传导阈值测试模式、疼痛耐受阈值测试模式和区段电流感觉阈值测试模式，并提供实验室研究用的自动化非创伤性的动物反应阈值测试模式。</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3.由充电电池供电运作，并配有打印机、遥控器及配套 的CPT 分析及资料库软件。</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4.测试数据都与临床确立的标准数据进行全面的对比分析，并作出报告。</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加压器（蠕动泵）</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1.滚动挤压泵产生大流量脉冲水流。</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2.冲洗液管可以高温高压消毒。</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3.压力可以根据需要进行调节设定，也可以进行实时监控。</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4.电压：AC100V-240V  50/60Hz、功率：80W、压力调节范围：0-250mmHg 、流量调节范围：0-2200ml/min</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病员加温系统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1.控制器采用重量轻、转换效率高、安全性能高的开关电源。</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2.双重过温保护装置、多种安全报警装置及过流保护。</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3.输出温度35-40℃超温报警：41.5℃±0.5℃。</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4.病员加温系统加温垫（毯）防水等级≥IPX8，加温垫（毯）可沉浸在2米水深长时间不进水。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5.发热材料由整面发热均匀、无冷热点的碳纤维布制成，非碳纤维织物，非碳纤维丝或碳纤维发热线。</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6.加温毯由接触层、舒适层、绝缘层（双层）、发热层、保温层、缓冲层等7层结构组成。</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7.加温毯具有阻燃性。</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麻醉深度监测仪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1.具备麻醉意识指数、信号质量指数、肌电指数实时监测：范围0~100。</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2.同屏脑电波显示功能：支持脑电图显示，实时显示原始脑电波形兼脑电频谱图。</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3.爆发抑制比（BSR）：范围0～100％，实时监测记录。</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4.Ai趋势图：实时观察脑镇定程度的量化指数的变化趋势。</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5.具备超强滤波功能、数据存储、导出功能、日志显示功能、打印功能、报警限制功能、传感器数据显示功能、传感器数据显示功能、自动诊断功能、病例演示功能、内置数据回放等。</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输血输液加温器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1、加热模式：全程包裹式加温，液体管路无裸露部分，加温后液体直接输入人</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体，热量不流失，适合寒冷环境使用。</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2、温度可调范围： 33℃-41℃，连续可调，增率0.1℃，控温精度为0.1℃。</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3、控制器显示设定温度、实时温度、加热时间、报警信息</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4、屏幕监测数据至少包括：加热时间，设定温度，加热温度，故障信息。</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5、直接加温常规输血输液管路，无需特殊耗材，节约使用成本。</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6、加热系统：可同时连接两条加热管，可单独设定每条加热管的温度并恒温控制。</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7、预热时间：从20℃-36℃小于2分钟。</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光学显微镜</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1.研究级正置显微镜，可作明场和荧光的观察。</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2.光学系统：齐焦距离为国际标准45mm。</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3.观察镜筒：人机工程学可倾斜三目观察筒，倾角0-30°可调。</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4.物镜：10X、20X、40X、100X</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5.物镜转换器：六孔位物镜转换器。    </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6.摄影图像保存系统</w:t>
            </w:r>
          </w:p>
        </w:tc>
        <w:tc>
          <w:tcPr>
            <w:tcW w:w="1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耳鼻喉科手术器械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1批</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详见明细表</w:t>
            </w:r>
          </w:p>
        </w:tc>
        <w:tc>
          <w:tcPr>
            <w:tcW w:w="1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"9  耳鼻喉科手术器械明细.xlsx"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9  耳鼻喉科手术器械明细.xlsx</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鼻内镜成像系统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1.全高清摄像主机， 网络实时直播功能。</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2.高清摄像头，光学变焦，摄像拍照均可在摄像头上完成。</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3.全高清液晶显示屏。</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 LED冷光源，使用时间4万小时以上，LCD智能触摸操作界面，智能调光。</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5.内窥镜工作站含图文信息管理系统。 </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6.配套国产内镜（含鼻内镜、耳内镜及硬性喉镜）、医用台车等。</w:t>
            </w:r>
          </w:p>
        </w:tc>
        <w:tc>
          <w:tcPr>
            <w:tcW w:w="1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电子膀胱镜系统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1.一体式影像控制器集成：包括摄像控制器，高亮度 LED 冷光源，高分辨率监视器，适配同品牌电子内窥镜。</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2.兼容全高清光学镜摄像头，可适配所有品牌的硬性光学镜或纤维软性镜。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3.输出分辨率：1920×1080 （30Hz）、1.5、输出接口：DVI×1，HD-SDI×2、灯泡色温：5000K-6500K。</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4.具备图像冻结和解除冻结功能，录像和拍照存储功能，也可换接SD卡或图像工作站。 </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5.配置含电子膀胱肾盂内窥镜 、电子输尿管软性内窥镜</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体外冲击波碎石机</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1.配置电磁式冲击波源： 高压放电范围： </w:t>
            </w:r>
            <w:r>
              <w:rPr>
                <w:rFonts w:hint="eastAsia" w:ascii="宋体" w:hAnsi="宋体"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~17kV、 冲击波能量范围：60~160J、第二焦点冲击波压缩声压峰值30~80MPa、 焦斑范围  10×10×±100mm、一体化智能高频高压逆变电源系统</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 一键式焦点可视化智能自动快速定靶系统及电动定靶系统</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3.一键式智能自动定靶操作系统+电动定靶操作系统</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4.无障碍移位装置</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5.治疗床为分体式治疗床、一键式智能自动完成三维六向运动、一键式智能自动复位、三维运动幅度、床面离地面最低720mm、治疗床最大载重达120kg、运动精度≤2mm</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6.具备水循环装置、水自动去气装置、超温报警和保护装置</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7、具有定位B超(全数字台式超声诊断系统):标配腹部碎石探头，具备泌尿碎石专用软件</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口腔专用设备</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ascii="Tahoma" w:hAnsi="Tahoma" w:eastAsia="Tahoma" w:cs="Tahoma"/>
                <w:b/>
                <w:bCs/>
                <w:i w:val="0"/>
                <w:iCs w:val="0"/>
                <w:color w:val="000000"/>
                <w:kern w:val="0"/>
                <w:sz w:val="22"/>
                <w:szCs w:val="22"/>
                <w:u w:val="none"/>
                <w:lang w:val="en-US" w:eastAsia="zh-CN" w:bidi="ar"/>
              </w:rPr>
              <w:t>1</w:t>
            </w:r>
            <w:r>
              <w:rPr>
                <w:rStyle w:val="5"/>
                <w:lang w:val="en-US" w:eastAsia="zh-CN" w:bidi="ar"/>
              </w:rPr>
              <w:t>批</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详见明细表</w:t>
            </w:r>
          </w:p>
        </w:tc>
        <w:tc>
          <w:tcPr>
            <w:tcW w:w="1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"13  口腔科采购设备明细.xlsx"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13  口腔科采购设备明细.xlsx</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5"/>
                <w:lang w:val="en-US" w:eastAsia="zh-CN" w:bidi="ar"/>
              </w:rPr>
              <w:t>负20℃冰箱1台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箱内温度可达-20~-40℃，有温度显示屏；内有抽屉设计，有高低温报警功能、传感器故障报警功能及断电报警功能等；配备双锁，底部有脚轮，可轻松移动。</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远红外线宽谱治疗仪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1、远红外峰值能量波长范围：2～10μm</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2、液晶屏显示，触摸屏操作</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3、出光口面积：≥300cm2</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4、治疗强度≥5档可调</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5、电子定时、定时范围：0-99min8、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6、竖直升降功能：金属软臂手动调节</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7、升降距离：≥50cm</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8、角度调节：二维,±90度</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9、有过温保护功能</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10、整机光源电功率：≥130W</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结肠灌肠透析治疗机</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1.主机采用计算机控制系统，彩色液晶显示屏，具有药液配置、治疗方案程序设定、病人信息系统、故障自动诊断等功能。</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2.温度设置范围：15℃－45℃, 测温误差：±2℃，内置PID恒温智能控制系统，加热方式为水电隔离管路加热。</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3.流量控制方式：0－1.5L/min；可通过计算机自动与外部手动双重方式连续调节流量。</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4.治疗时间控制：可按治疗需要设定注液时间、间歇时间，总治疗时间，任意可调。</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5.温度、液量、压力时间等参数实时显示。具有超温报警、阻塞、液尽报警，阻塞报警功能。</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6.内置水处理系统，自动加液并带溢出控制装置。</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0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全自动免疫组化染色机</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1.所有步骤全自动处理，无需人工干预；烤片温度及时间可自由设置。</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2.多功能染色。</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3.三个独立的玻片架。</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4.玻片容量≥30张玻片，每个玻片具有不同的抗原修复条件；机载小容量试剂瓶数量≥36个。</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5.可即时添加辅助试剂和一抗，二抗。</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6.所有缓冲液及废液试剂容量都从外部可见；具备试剂和切片自检系统。</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7.试剂侧面滴加方式。</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8.真空负压抽吸；分开收集有害废液和无害废液；</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0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原位杂交仪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1.样本可每次同时处理12张切片。</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2.处理时间可持续100小时。</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3.控温范围30-99℃、快速升温37-95℃（2分钟之内）、快速冷却95-37℃（5分钟之内）、温差在设定温度±1℃。</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4.多种使用者自定义的程序；具备变性/杂交模式、杂交模式和固定温度模式等操作模式。</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0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全自动染色封片一体机</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1.染色速度≥240张/小时，封片速度≥570张/小时（含干片）和≥660张/小时（不含干片）；</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2.双染双封，染色双机械臂同时运行增加染色速度，可同时自动进行H&amp;E封片的同时可进行其他样品的封片。</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3.具备RFID射频识别技术，实时监测试剂效期、批次和消耗。</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4.带有切片计数功能试剂管理系统。</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5.可自动进行染缸布局，自动扫描液面高度，程序兼容性检测功能。</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6.内置烤箱容纳≥6个染色架（≥180张玻片），可进行自动烤片。</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7.具有自动识别以及废弃破损玻片功能，同时不停止封片过程。</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8.染色单元和封片单元可独立使用。</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9.具备双重废气过滤排放系统。</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0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过氧化氢等离子灭菌器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1.总容积： ≥135L。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2.有效使用容积： ≥110L。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3.采用优质航空铝材3003，厚度≥8mm。</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4.采用顶杆驱动式电动升降门。</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5.加热膜数量≥2个，门板温度维持在50±2℃。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6.真空泵工作压强范围为101325~1.33×10-2Pa、设有真空泵相序保护器。</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7.过氧化氢加注采用卡匣式。</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8.具备过氧化氢提纯功能、排气油雾过滤系统、排气过氧化氢气体过滤系统、倒计时显示功能。</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9.设有全循环、快速循环和软镜循环三种程序。</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短波紫外线治疗仪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1.紫外线辐射波长：辐射波峰值波长为253.7nm，误差为±0.3nm。</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2.连续使用1000小时后，各类型照射器紫外线辐照强度维持率≥95%。</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3.治疗时间：0s～100s可调，步长1s，误差为±2%。</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4.紫外线输出光源纯度：253.7nm的紫外线辐照强度&gt;90%。</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5.紫外线最大辐射剂量≤2J/cm2。</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0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多参数生物反馈仪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1.脑电（EEG）采集器电压测量误差应不超过±10%范围。</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2.共模抑制比：各通道不小于80dB。</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3.耐极化电压幅值偏差不超过标准方波的±5％范围。</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4.时间间隔误差不超过±5％范围。</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5.细胞毒性:≤1级。</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6.具备视频连续播放反馈软件、图片抓取播放反馈软件、伪差鉴别功能、双屏显示、针对不同疾病的训练方案、同屏同步实时存储回放功能、多种评估功能。</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0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超声波骨密度分析仪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1.超声波探头中心频率0.55MHz±0.055MHz。</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2.超声波穿透法，全干式测量。</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3.扫描时间：≤10秒。</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4.测量重复性误差(CV.%)≤1.0%（SOS≤1.0%, BUA≤1.0% ) 。</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5.具有小腿托架、脚部定位器及四种规格的脚垫进行测量时的定位支撑。</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6.有校准模块，提供日常质量控制和校准。</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7.测量范围：0-19，20-100岁。</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8.具备骨密度打印报告软件、儿童/成人骨密度测量软件、儿童生长发育预测软件、FRAX骨折风险评估软件、 历史趋势对比软件</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9.工作电压：AC 100V～240V，50/60Hz</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儿童综合发展评价系统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1.四核工业级电脑主机，内存：≥4G，硬盘：≥120G，USB高速接口。</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2.具备儿童智力测试、儿童注意力训练、儿童生长发育测评、儿童心理健康测评、儿童膳食营养指导、儿童健康检查记录软件</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内脏脂肪测量装置</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1.测量范围：5cm2-500cm2，最小显示单位1 cm2。</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2.专用腹部测量单元检测，腹围周长测量范围：65cm-120cm。</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3.测量时间：≤5秒钟。</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4.双重生物电阻抗技术检测。</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5.测量频率：50KHZ±5%。</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6.测量电流：500ｕArms±50ｕArms。</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7.软件终身免费升级维护。</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动脉硬化检测装置</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1.具有血管狭窄检测、血管硬化检测、糖尿病足检测、自主神经功能检测、心功能检测、E心电、心音、收缩压、舒张压、平均压、脉搏容积记录、心脏功能评价、心率、 射血前期、射血时间、射血指数、自主神经功能等。</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2.具有外周血管压力波动同步检测技术、双层线性膨胀传感器技术、滤波功能、心脏起搏器模式等。</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糖尿病运动智慧干预一体机</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1.具备健康管理工作站软件、健康服务系统软件、医护软件、健康软件、运动心肺功能测试系统（运动平板）、功率车、心血管功能测试仪、上肢肌肉力量训练器、下肢肌肉力量训练器、人体成分分析仪等</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2、软件终身免费升级维护。</w:t>
            </w:r>
          </w:p>
        </w:tc>
        <w:tc>
          <w:tcPr>
            <w:tcW w:w="1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宫内刨削套件</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详见明细表</w:t>
            </w:r>
          </w:p>
        </w:tc>
        <w:tc>
          <w:tcPr>
            <w:tcW w:w="1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"28  宫内刨削套件明细.xls"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28  宫内刨削套件明细.xls</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干式荧光免疫分析</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1.开机时间：1分钟。</w:t>
            </w:r>
          </w:p>
          <w:p>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2.首份结果时间：≤10分钟。</w:t>
            </w:r>
          </w:p>
          <w:p>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3.急诊样本最快时间：≤10分钟。</w:t>
            </w:r>
          </w:p>
          <w:p>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4.最大检测速度：≥135 T/H。</w:t>
            </w:r>
          </w:p>
          <w:p>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5.样本位：≥8*5个，支持不停机持续添加样本。</w:t>
            </w:r>
          </w:p>
          <w:p>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6.Tip头装载量：单次装载不低于192个。</w:t>
            </w:r>
          </w:p>
          <w:p>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7.样本类型：全血（需支持自动混匀），血清，血浆。</w:t>
            </w:r>
          </w:p>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8.试剂数量：同时可装载试剂项目数≥7，总测试量≥600测试。</w:t>
            </w:r>
          </w:p>
        </w:tc>
        <w:tc>
          <w:tcPr>
            <w:tcW w:w="19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碘元素检测仪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1.相关系数：(R)≥0.999 </w:t>
            </w:r>
            <w:r>
              <w:rPr>
                <w:rFonts w:hint="eastAsia" w:ascii="宋体" w:hAnsi="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 xml:space="preserve">  检测范围:尿碘30-2000μg/L </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3.灵敏度：最小响应值为≥1μg/L的碘含量 </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 4.加注器精度：定量加注，相对偏差(RD)在±2%以内</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5.重复性：变异系数（CV）≤6%  </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宋体" w:hAnsi="宋体"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.准确度：测定国家碘标准物质，测定值在其允许范围内</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 xml:space="preserve">.全自动操作：使用者只需加入待测样品且样品无需前处理，整个分析过程仪器自动完成， 1小时左右可检测50份样品 </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8.安全性：仪器的安全符合GB4793.1-2007、GB4793.9-2013和YY0648-2008适用要求</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9.产品组成：由主机部件、电脑及软件控制系统组成。软件可升级扩展</w:t>
            </w:r>
            <w:r>
              <w:rPr>
                <w:rFonts w:hint="eastAsia" w:ascii="宋体" w:hAnsi="宋体" w:cs="宋体"/>
                <w:b/>
                <w:bCs/>
                <w:i w:val="0"/>
                <w:iCs w:val="0"/>
                <w:color w:val="000000"/>
                <w:kern w:val="0"/>
                <w:sz w:val="22"/>
                <w:szCs w:val="22"/>
                <w:u w:val="none"/>
                <w:lang w:val="en-US" w:eastAsia="zh-CN" w:bidi="ar"/>
              </w:rPr>
              <w:t>。</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全自动免疫分析仪+轨道</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1.免疫方法学：采用电化学发光或直接化学发光。</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2.单模块检测速度：≥300测试/小时、单模块试剂通道：≥45个，自带5-10℃冷藏功能。</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3.具备样品凝块检出功能及样品探针堵孔报警和防碰撞功能、试管液面探测技术。</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4.采用轨道进样模式，同时在机样本管数量≥300个，并可连续装载。</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5.可在任何时间即时插入STAT急诊样品，即时测试，急诊项目检测时间≤9分钟.</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6.可以支持不停机的状态连续装载试剂盒及辅助耗材，试剂包装≥100测试，减少操作时间。</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7.试剂上机开瓶有效期大于100天。8.轨道传输速度＞2000管/小时，五管架式运输或单管运输。</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9.轨道运输时无需试管条码扫描，由轨道进入分析仪无需转换底座。</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10.轨道无需预留分析仪接口，可随时拓展连接生化免疫检测仪器.</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高能红外线治疗仪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1.能量主要分布范围400-1400nm，可产生WIRA光</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2.光源功率：≥730W、输入功率：≤900W</w:t>
            </w:r>
            <w:r>
              <w:rPr>
                <w:rFonts w:hint="eastAsia" w:ascii="宋体" w:hAnsi="宋体" w:cs="宋体"/>
                <w:b/>
                <w:bCs/>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3.光功率密度：出光口平面中心处光功率密度应≥800mw/㎝²</w:t>
            </w:r>
            <w:r>
              <w:rPr>
                <w:rFonts w:hint="eastAsia" w:ascii="宋体" w:hAnsi="宋体" w:cs="宋体"/>
                <w:b/>
                <w:bCs/>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4.出光口面积：≥100㎝²、有效照射面积：≥800㎝²、治疗深度：≥15cm</w:t>
            </w:r>
          </w:p>
          <w:p>
            <w:pPr>
              <w:keepNext w:val="0"/>
              <w:keepLines w:val="0"/>
              <w:widowControl/>
              <w:suppressLineNumbers w:val="0"/>
              <w:jc w:val="left"/>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5.升降方式：电动升降调整治疗高度，最大治疗高度≥1500mm</w:t>
            </w:r>
            <w:r>
              <w:rPr>
                <w:rFonts w:hint="eastAsia" w:ascii="宋体" w:hAnsi="宋体" w:cs="宋体"/>
                <w:b/>
                <w:bCs/>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6.治疗头调整：水平旋转角度≥90°，竖直旋转角度≥90°</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7.具有定时模式、过热保护、倾倒断电保护、软件升级接口</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神经外科脑牵开器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1.合金亚光材质，不反光，球状牙槽连接器可与任何品牌的手术床匹配。</w:t>
            </w:r>
          </w:p>
          <w:p>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2.张力臂连接头可旋转，可同时连接两根以上张力臂。</w:t>
            </w:r>
          </w:p>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3.固定底座1个、连接器1套、蛇形臂2根 、支撑杆1个、脑压板接头2个。</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神经外科动力系统配件</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1、与现有医院设备相兼容;</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2、马达类型：高速电钻马达, 耐高温高压消毒；</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3、钻头安装类型≤3步安装。</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4、马达长度≤9.1CM，马达直径EHS≤2.3CM、马达最高转速≥120000 RPM，可正反转、马达最大输出功率≥138W，马达最大扭矩：≥41mN-m。</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5、可预真空或常规蒸气高温高压消毒或环氧乙烷消毒。</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6、马达6万转/分20秒开20秒关，持续25分钟马达表面温度≤40°C，马达不需水冷却。</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7、附件：可旋转铣刀附件、可调节长度附件、弯钻头。</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8、专业显微管道≥8种。</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9、钻头：拥有≥300种不同形状、不同型号的钻头可满足各科手术选择。</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术中神经监测系统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1.通道数≥16、灵敏度：EP：0.01uV—20mV，40级可调、 EMG：10，20，50，100，200，400uV，1，2，5mV每格可调、高频滤波：2-pole (12dB/octave)、低频滤波：2-pole、 (12dB/octave)、隔离模式抑制比：&gt;115dB、共模抑制比：&gt;110dB、</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2.电刺激器采用恒流、恒压分离设计；保证电刺激的安全性能。</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3.声音刺激器：刺激声强范围：-10-80dB nHL范围内分档可调，调节步长1dB、刺激频率为：0.5pps-30pps(脉冲/秒)范围内分档可调。</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4.视觉刺激器： 刺激器类型：LED闪光眼罩刺激器、刺激频率：1-10Hz、屏噪声：0-55dB。</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5.软件功能要求免费终身升级、监测项目包括脑电图、肌电图、体感诱发电位、运动诱发电位、脑干听觉诱发电位、视觉诱发电位、神经肌肉传递功能等。</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超声波治疗仪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1.输出模式需包含连续输出和脉冲输出。</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2.输出频率16Hz，48Hz和100Hz、脉宽：0.5ms-50ms、超声频率单头需可实现双频输出：1 MHz和3 MHz。</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3.有效声强：0-2W/cm²持续，0-3W/cm²脉冲。</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4.具有治疗信息，包含文字信息，人体彩图部位信息，人体解剖图信息，方便治疗人员学习和找准治疗部位。</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5.实时显示治疗输出剂量，输出剂量应可随着探头与皮肤的接触面积变化而变化，以保证单位面积内输出能量稳定。</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6.带有自动报警功能、自检修复功能。</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7.探头：需配有5cm²探头（探头为防浸式设计，可用于水下治疗）。</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8.超声探头接触面积需可以重新校准。</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54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智能采血台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0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1.具备从医院HIS/LIS系统下载、反馈、记录等采血相关信息的功能，软件终身免费升级。</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按照医院场地灵活配制长度合适的采血工位、3.配置服务器1套，主频≥2.6G,内存2G,显示器≥19寸，硬盘≥500G、快速地输送试管标本，输送速度2-20m/min（可调）、采血桌可选配嵌入式自动混匀装置及生物安全防护装置。</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3.根据医院需求进行量身定做患者自动登记排队系统。</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4.智能真空采血管备管机，具备按照采血相关信息，自动在采血管仓中选择出正确的采血管的功能并打印、自动黏贴</w:t>
            </w:r>
            <w:r>
              <w:rPr>
                <w:rFonts w:hint="eastAsia" w:ascii="宋体" w:hAnsi="宋体" w:cs="宋体"/>
                <w:b/>
                <w:bCs/>
                <w:i w:val="0"/>
                <w:iCs w:val="0"/>
                <w:color w:val="000000"/>
                <w:kern w:val="0"/>
                <w:sz w:val="22"/>
                <w:szCs w:val="22"/>
                <w:u w:val="none"/>
                <w:lang w:val="en-US" w:eastAsia="zh-CN" w:bidi="ar"/>
              </w:rPr>
              <w:t>。</w:t>
            </w:r>
          </w:p>
        </w:tc>
        <w:tc>
          <w:tcPr>
            <w:tcW w:w="1923" w:type="dxa"/>
            <w:tcBorders>
              <w:top w:val="single" w:color="000000" w:sz="4" w:space="0"/>
              <w:left w:val="single" w:color="000000" w:sz="4" w:space="0"/>
              <w:bottom w:val="single" w:color="000000" w:sz="4" w:space="0"/>
              <w:right w:val="single" w:color="000000" w:sz="8" w:space="0"/>
            </w:tcBorders>
            <w:shd w:val="clear" w:color="auto" w:fill="FFFFFF"/>
            <w:noWrap w:val="0"/>
            <w:vAlign w:val="center"/>
          </w:tcPr>
          <w:p>
            <w:pPr>
              <w:jc w:val="center"/>
              <w:rPr>
                <w:rFonts w:hint="eastAsia" w:ascii="宋体" w:hAnsi="宋体" w:eastAsia="宋体" w:cs="宋体"/>
                <w:b/>
                <w:bCs/>
                <w:i w:val="0"/>
                <w:iCs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YmVhN2RjZWYxMmJmZWM4ZTg2ODMwMjU4ZTNkYjQifQ=="/>
  </w:docVars>
  <w:rsids>
    <w:rsidRoot w:val="5B556CF6"/>
    <w:rsid w:val="029E312F"/>
    <w:rsid w:val="03913025"/>
    <w:rsid w:val="21D22B02"/>
    <w:rsid w:val="289C2625"/>
    <w:rsid w:val="5B556CF6"/>
    <w:rsid w:val="7C68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31"/>
    <w:basedOn w:val="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6049</Words>
  <Characters>6995</Characters>
  <Lines>0</Lines>
  <Paragraphs>0</Paragraphs>
  <TotalTime>2</TotalTime>
  <ScaleCrop>false</ScaleCrop>
  <LinksUpToDate>false</LinksUpToDate>
  <CharactersWithSpaces>7254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2022-06-14T00:42:00Z</dcterms:created>
  <dc:creator>Lily</dc:creator>
  <cp:lastModifiedBy>Lily</cp:lastModifiedBy>
  <dcterms:modified xsi:type="dcterms:W3CDTF">2022-06-17T02:15:46Z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D04084A55EDC4C848BB38C24DC48CDF8</vt:lpwstr>
  </property>
</Properties>
</file>