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126" w:tblpY="604"/>
        <w:tblOverlap w:val="never"/>
        <w:tblW w:w="156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0"/>
        <w:gridCol w:w="2040"/>
        <w:gridCol w:w="690"/>
        <w:gridCol w:w="10425"/>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0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6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04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c>
          <w:tcPr>
            <w:tcW w:w="1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0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腔镜器械一批</w:t>
            </w:r>
          </w:p>
        </w:tc>
        <w:tc>
          <w:tcPr>
            <w:tcW w:w="6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1批</w:t>
            </w:r>
          </w:p>
        </w:tc>
        <w:tc>
          <w:tcPr>
            <w:tcW w:w="104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详见明细表</w:t>
            </w:r>
          </w:p>
        </w:tc>
        <w:tc>
          <w:tcPr>
            <w:tcW w:w="19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800080"/>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"1  腔镜器械一批.xlsx"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1  腔镜器械一批.xlsx</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540" w:type="dxa"/>
            <w:tcBorders>
              <w:top w:val="single" w:color="auto"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204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输血输液加压仪</w:t>
            </w:r>
          </w:p>
        </w:tc>
        <w:tc>
          <w:tcPr>
            <w:tcW w:w="69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042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1.自动加压，无需外置加压泵和机械压力柱。</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2.主机内置压力自动保护与监控装置，工作状态中可以进行快速放气与充气，保持压力值稳定，无需配置具有机械压力柱的加压袋。</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 内置充电电池供电。</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 屏幕实时显示电量图标，提示电量状态。</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 一键暂停，自动泄压。</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6、具有多重保护报警功能，有过压报警提醒声音和屏幕显示。</w:t>
            </w:r>
          </w:p>
        </w:tc>
        <w:tc>
          <w:tcPr>
            <w:tcW w:w="1923" w:type="dxa"/>
            <w:tcBorders>
              <w:top w:val="single" w:color="auto"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电流感觉阈值检测仪（CPT)感觉神经定量检测仪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1.具有全自动、半自动和手动测试模式以及双盲和单盲测试方法的感觉神经传导阈值检测仪。</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2.内建神经选择性的感觉神经传导阈值测试模式、疼痛耐受阈值测试模式和区段电流感觉阈值测试模式，并提供实验室研究用的自动化非创伤性的动物反应阈值测试模式。</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3.由充电电池供电运作，并配有打印机、遥控器及配套 的CPT 分析及资料库软件。</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4.测试数据都与临床确立的标准数据进行全面的对比分析，并作出报告。</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加压器（蠕动泵）</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1.滚动挤压泵产生大流量脉冲水流。</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2.冲洗液管可以高温高压消毒。</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3.压力可以根据需要进行调节设定，也可以进行实时监控。</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4.电压：AC100V-240V  50/60Hz、功率：80W、压力调节范围：0-250mmHg 、流量调节范围：0-2200ml/min</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病员加温系统</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1.控制器采用重量轻、转换效率高、安全性能高的开关电源。</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2.双重过温保护装置、多种安全报警装置及过流保护。</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3.输出温度35-40℃超温报警：41.5℃±0.5℃。</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4.病员加温系统加温垫（毯）防水等级≥IPX8，加温垫（毯）可沉浸在2米水深长时间不进水。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5.发热材料由整面发热均匀、无冷热点的碳纤维布制成，非碳纤维织物，非碳纤维丝或碳纤维发热线。</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6.加温毯由接触层、舒适层、绝缘层（双层）、发热层、保温层、缓冲层等7层结构组成。</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7.加温毯具有阻燃性。</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麻醉深度监测仪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1.具备麻醉意识指数、信号质量指数、肌电指数实时监测：范围0~100。</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2.同屏脑电波显示功能：支持脑电图显示，实时显示原始脑电波形兼脑电频谱图。</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3.爆发抑制比（BSR）：范围0～100％，实时监测记录。</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4.Ai趋势图：实时观察脑镇定程度的量化指数的变化趋势。</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5.具备超强滤波功能、数据存储、导出功能、日志显示功能、打印功能、报警限制功能、传感器数据显示功能、传感器数据显示功能、自动诊断功能、病例演示功能、内置数据回放等。</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输血输液加温器</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1、加热模式：全程包裹式加温，液体管路无裸露部分，加温后液体直接输入人</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体，热量不流失，适合寒冷环境使用。</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2、温度可调范围： 33℃-41℃，连续可调，增率0.1℃，控温精度为0.1℃。</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3、控制器显示设定温度、实时温度、加热时间、报警信息</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4、屏幕监测数据至少包括：加热时间，设定温度，加热温度，故障信息。</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5、直接加温常规输血输液管路，无需特殊耗材，节约使用成本。</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6、加热系统：可同时连接两条加热管，可单独设定每条加热管的温度并恒温控制。</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7、预热时间：从20℃-36℃小于2分钟。</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光学显微镜</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1.研究级正置显微镜，可作明场和荧光的观察。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2.光学系统：齐焦距离为国际标准45mm。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3.观察镜筒：人机工程学可倾斜三目观察筒，倾角0-30°可调。</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4.物镜：10X、20X、40X、100X</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5.物镜转换器：六孔位物镜转换器。    </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6.摄影图像保存系统</w:t>
            </w:r>
          </w:p>
        </w:tc>
        <w:tc>
          <w:tcPr>
            <w:tcW w:w="19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耳鼻喉科手术器械</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1批</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详见明细表</w:t>
            </w:r>
          </w:p>
        </w:tc>
        <w:tc>
          <w:tcPr>
            <w:tcW w:w="19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800080"/>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"9  耳鼻喉科手术器械明细.xlsx"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9  耳鼻喉科手术器械明细.xlsx</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鼻内镜成像系统</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1.全高清摄像主机， 网络实时直播功能。</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2.高清摄像头，光学变焦，摄像拍照均可在摄像头上完成。</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3.全高清液晶显示屏。</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 LED冷光源，使用时间4万小时以上，LCD智能触摸操作界面，智能调光。</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5.内窥镜工作站含图文信息管理系统。 </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6.配套国产内镜（含鼻内镜、耳内镜及硬性喉镜）、医用台车等。</w:t>
            </w:r>
          </w:p>
        </w:tc>
        <w:tc>
          <w:tcPr>
            <w:tcW w:w="19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电子膀胱镜系统</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1.一体式影像控制器集成：包括摄像控制器，高亮度 LED 冷光源，高分辨率监视器，适配同品牌电子内窥镜。</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2.兼容全高清光学镜摄像头，可适配所有品牌的硬性光学镜或纤维软性镜。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3.输出分辨率：1920×1080 （30Hz）、1.5、输出接口：DVI×1，HD-SDI×2、灯泡色温：5000K-6500K。</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4.具备图像冻结和解除冻结功能，录像和拍照存储功能，也可换接SD卡或图像工作站。 </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5.配置含电子膀胱肾盂内窥镜 、电子输尿管软性内窥镜</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体外冲击波碎石机</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1.配置电磁式冲击波源： 高压放电范围： </w:t>
            </w:r>
            <w:r>
              <w:rPr>
                <w:rFonts w:hint="eastAsia" w:ascii="宋体" w:hAnsi="宋体" w:cs="宋体"/>
                <w:b/>
                <w:bCs/>
                <w:i w:val="0"/>
                <w:iCs w:val="0"/>
                <w:color w:val="000000"/>
                <w:kern w:val="0"/>
                <w:sz w:val="22"/>
                <w:szCs w:val="22"/>
                <w:u w:val="none"/>
                <w:lang w:val="en-US" w:eastAsia="zh-CN" w:bidi="ar"/>
              </w:rPr>
              <w:t>7</w:t>
            </w:r>
            <w:r>
              <w:rPr>
                <w:rFonts w:hint="eastAsia" w:ascii="宋体" w:hAnsi="宋体" w:eastAsia="宋体" w:cs="宋体"/>
                <w:b/>
                <w:bCs/>
                <w:i w:val="0"/>
                <w:iCs w:val="0"/>
                <w:color w:val="000000"/>
                <w:kern w:val="0"/>
                <w:sz w:val="22"/>
                <w:szCs w:val="22"/>
                <w:u w:val="none"/>
                <w:lang w:val="en-US" w:eastAsia="zh-CN" w:bidi="ar"/>
              </w:rPr>
              <w:t>~17kV、 冲击波能量范围：60~160J、第二焦点冲击波压缩声压峰值30~80MPa、 焦斑范围  10×10×±100mm、一体化智能高频高压逆变电源系统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 一键式焦点可视化智能自动快速定靶系统及电动定靶系统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3.一键式智能自动定靶操作系统+电动定靶操作系统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4.无障碍移位装置</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5.治疗床为分体式治疗床、一键式智能自动完成三维六向运动、一键式智能自动复位、三维运动幅度、床面离地面最低720mm、治疗床最大载重达120kg、运动精度≤2mm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6.具备水循环装置、水自动去气装置、超温报警和保护装置</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7、具有定位B超(全数字台式超声诊断系统):标配腹部碎石探头，具备泌尿碎石专用软件</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口腔专用设备</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Tahoma" w:hAnsi="Tahoma" w:eastAsia="Tahoma" w:cs="Tahoma"/>
                <w:b/>
                <w:bCs/>
                <w:i w:val="0"/>
                <w:iCs w:val="0"/>
                <w:color w:val="000000"/>
                <w:kern w:val="0"/>
                <w:sz w:val="22"/>
                <w:szCs w:val="22"/>
                <w:u w:val="none"/>
                <w:lang w:val="en-US" w:eastAsia="zh-CN" w:bidi="ar"/>
              </w:rPr>
              <w:t>1</w:t>
            </w:r>
            <w:r>
              <w:rPr>
                <w:rStyle w:val="5"/>
                <w:lang w:val="en-US" w:eastAsia="zh-CN" w:bidi="ar"/>
              </w:rPr>
              <w:t>批</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详见明细表</w:t>
            </w:r>
          </w:p>
        </w:tc>
        <w:tc>
          <w:tcPr>
            <w:tcW w:w="19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"13  口腔科采购设备明细.xlsx"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13  口腔科采购设备明细.xlsx</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5"/>
                <w:lang w:val="en-US" w:eastAsia="zh-CN" w:bidi="ar"/>
              </w:rPr>
              <w:t>负20℃冰箱1台</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箱内温度可达-20~-40℃，有温度显示屏；内有抽屉设计，有高低温报警功能、传感器故障报警功能及断电报警功能等；配备双锁，底部有脚轮，可轻松移动。</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远红外线宽谱治疗仪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1、远红外峰值能量波长范围：2～10μm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2、液晶屏显示，触摸屏操作</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3、出光口面积：≥300cm2</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4、治疗强度≥5档可调</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5、电子定时、定时范围：0-99min8、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6、竖直升降功能：金属软臂手动调节</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7、升降距离：≥50cm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8、角度调节：二维,±90度</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9、有过温保护功能</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10、整机光源电功率：≥130W</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结肠灌肠透析治疗机</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1.主机采用计算机控制系统，彩色液晶显示屏，具有药液配置、治疗方案程序设定、病人信息系统、故障自动诊断等功能。</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2.温度设置范围：15℃－45℃, 测温误差：±2℃，内置PID恒温智能控制系统，加热方式为水电隔离管路加热。</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3.流量控制方式：0－1.5L/min；可通过计算机自动与外部手动双重方式连续调节流量。</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4.治疗时间控制：可按治疗需要设定注液时间、间歇时间，总治疗时间，任意可调。</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5.温度、液量、压力时间等参数实时显示。具有超温报警、阻塞、液尽报警，阻塞报警功能。</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6.内置水处理系统，自动加液并带溢出控制装置。</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20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全自动免疫组化染色机</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1.所有步骤全自动处理，无需人工干预；烤片温度及时间可自由设置。</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2.多功能染色。</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3.三个独立的玻片架。</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4.玻片容量≥30张玻片，每个玻片具有不同的抗原修复条件；机载小容量试剂瓶数量≥36个。</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5.可即时添加辅助试剂和一抗，二抗。</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6.所有缓冲液及废液试剂容量都从外部可见；具备试剂和切片自检系统。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7.试剂侧面滴加方式。</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8.真空负压抽吸；分开收集有害废液和无害废液；</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20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原位杂交仪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1.样本可每次同时处理12张切片。</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2.处理时间可持续100小时。</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3.控温范围30-99℃、快速升温37-95℃（2分钟之内）、快速冷却95-37℃（5分钟之内）、温差在设定温度±1℃。</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4.多种使用者自定义的程序；具备变性/杂交模式、杂交模式和固定温度模式等操作模式。</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c>
          <w:tcPr>
            <w:tcW w:w="20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全自动染色封片一体机</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1.染色速度≥240张/小时，封片速度≥570张/小时（含干片）和≥660张/小时（不含干片）；</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2.双染双封，染色双机械臂同时运行增加染色速度，可同时自动进行H&amp;E封片的同时可进行其他样品的封片。</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3.具备RFID射频识别技术，实时监测试剂效期、批次和消耗。</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4.带有切片计数功能试剂管理系统。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5.可自动进行染缸布局，自动扫描液面高度，程序兼容性检测功能。</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6.内置烤箱容纳≥6个染色架（≥180张玻片），可进行自动烤片。</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7.具有自动识别以及废弃破损玻片功能，同时不停止封片过程。</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8.染色单元和封片单元可独立使用。</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9.具备双重废气过滤排放系统。</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20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过氧化氢等离子灭菌器</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1.总容积： ≥135L。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2.有效使用容积： ≥110L。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3.采用优质航空铝材3003，厚度≥8mm。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4.采用顶杆驱动式电动升降门。</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5.加热膜数量≥2个，门板温度维持在50±2℃。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6.真空泵工作压强范围为101325~1.33×10-2Pa、设有真空泵相序保护器。</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7.过氧化氢加注采用卡匣式。</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8.具备过氧化氢提纯功能、排气油雾过滤系统、排气过氧化氢气体过滤系统、倒计时显示功能。</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9.设有全循环、快速循环和软镜循环三种程序。</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短波紫外线治疗仪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1.紫外线辐射波长：辐射波峰值波长为253.7nm，误差为±0.3nm。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2.连续使用1000小时后，各类型照射器紫外线辐照强度维持率≥95%。</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3.治疗时间：0s～100s可调，步长1s，误差为±2%。</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4.紫外线输出光源纯度：253.7nm的紫外线辐照强度&gt;90%。</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5.紫外线最大辐射剂量≤2J/cm2。</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w:t>
            </w:r>
          </w:p>
        </w:tc>
        <w:tc>
          <w:tcPr>
            <w:tcW w:w="20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多参数生物反馈仪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1.脑电（EEG）采集器电压测量误差应不超过±10%范围。</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2.共模抑制比：各通道不小于80dB。</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3.耐极化电压幅值偏差不超过标准方波的±5％范围。</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4.时间间隔误差不超过±5％范围。</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5.细胞毒性:≤1级。</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6.具备视频连续播放反馈软件、图片抓取播放反馈软件、伪差鉴别功能、双屏显示、针对不同疾病的训练方案、同屏同步实时存储回放功能、多种评估功能。</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w:t>
            </w:r>
          </w:p>
        </w:tc>
        <w:tc>
          <w:tcPr>
            <w:tcW w:w="20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超声波骨密度分析仪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1.超声波探头中心频率0.55MHz±0.055MHz。</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2.超声波穿透法，全干式测量。</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3.扫描时间：≤10秒。</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4.测量重复性误差(CV.%)≤1.0%（SOS≤1.0%, BUA≤1.0% ) 。</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5.具有小腿托架、脚部定位器及四种规格的脚垫进行测量时的定位支撑。</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6.有校准模块，提供日常质量控制和校准。</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7.测量范围：0-19，20-100岁。</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8.具备骨密度打印报告软件、儿童/成人骨密度测量软件、儿童生长发育预测软件、FRAX骨折风险评估软件、 历史趋势对比软件</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9.工作电压：AC 100V～240V，50/60Hz</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儿童综合发展评价系统</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1.四核工业级电脑主机，内存：≥4G，硬盘：≥120G，USB高速接口。</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2.具备儿童智力测试、儿童注意力训练、儿童生长发育测评、儿童心理健康测评、儿童膳食营养指导、儿童健康检查记录软件</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内脏脂肪测量装置</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1.测量范围：5cm2-500cm2，最小显示单位1 cm2。</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2.专用腹部测量单元检测，腹围周长测量范围：65cm-120cm。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3.测量时间：≤5秒钟。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4.双重生物电阻抗技术检测。</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5.测量频率：50KHZ±5%。</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6.测量电流：500ｕArms±50ｕArms。</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7.软件终身免费升级维护。</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动脉硬化检测装置</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1.具有血管狭窄检测、血管硬化检测、糖尿病足检测、自主神经功能检测、心功能检测、E心电、心音、收缩压、舒张压、平均压、脉搏容积记录、心脏功能评价、心率、 射血前期、射血时间、射血指数、自主神经功能等。</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2.具有外周血管压力波动同步检测技术、双层线性膨胀传感器技术、滤波功能、心脏起搏器模式等。</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糖尿病运动智慧干预一体机</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1.具备健康管理工作站软件、健康服务系统软件、医护软件、健康软件、运动心肺功能测试系统（运动平板）、功率车、心血管功能测试仪、上肢肌肉力量训练器、下肢肌肉力量训练器、人体成分分析仪等</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2、软件终身免费升级维护。</w:t>
            </w:r>
          </w:p>
        </w:tc>
        <w:tc>
          <w:tcPr>
            <w:tcW w:w="19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宫内刨削套件</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详见明细表</w:t>
            </w:r>
          </w:p>
        </w:tc>
        <w:tc>
          <w:tcPr>
            <w:tcW w:w="19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800080"/>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"28  宫内刨削套件明细.xls"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28  宫内刨削套件明细.xls</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干式荧光免疫分析</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1.开机时间：1分钟。</w:t>
            </w:r>
          </w:p>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2.首份结果时间：≤10分钟。</w:t>
            </w:r>
          </w:p>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3.急诊样本最快时间：≤10分钟。</w:t>
            </w:r>
          </w:p>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4.最大检测速度：≥135 T/H。</w:t>
            </w:r>
          </w:p>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5.样本位：≥8*5个，支持不停机持续添加样本。</w:t>
            </w:r>
          </w:p>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6.Tip头装载量：单次装载不低于192个。</w:t>
            </w:r>
          </w:p>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7.样本类型：全血（需支持自动混匀），血清，血浆。</w:t>
            </w:r>
          </w:p>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8.试剂数量：同时可装载试剂项目数≥7，总测试量≥600测试。</w:t>
            </w:r>
          </w:p>
        </w:tc>
        <w:tc>
          <w:tcPr>
            <w:tcW w:w="19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2"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碘元素检测仪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1.相关系数：(R)≥0.999 </w:t>
            </w:r>
            <w:r>
              <w:rPr>
                <w:rFonts w:hint="eastAsia" w:ascii="宋体" w:hAnsi="宋体" w:cs="宋体"/>
                <w:b/>
                <w:bCs/>
                <w:i w:val="0"/>
                <w:iCs w:val="0"/>
                <w:color w:val="000000"/>
                <w:kern w:val="0"/>
                <w:sz w:val="22"/>
                <w:szCs w:val="22"/>
                <w:u w:val="none"/>
                <w:lang w:val="en-US" w:eastAsia="zh-CN" w:bidi="ar"/>
              </w:rPr>
              <w:t>。2.</w:t>
            </w:r>
            <w:r>
              <w:rPr>
                <w:rFonts w:hint="eastAsia" w:ascii="宋体" w:hAnsi="宋体" w:eastAsia="宋体" w:cs="宋体"/>
                <w:b/>
                <w:bCs/>
                <w:i w:val="0"/>
                <w:iCs w:val="0"/>
                <w:color w:val="000000"/>
                <w:kern w:val="0"/>
                <w:sz w:val="22"/>
                <w:szCs w:val="22"/>
                <w:u w:val="none"/>
                <w:lang w:val="en-US" w:eastAsia="zh-CN" w:bidi="ar"/>
              </w:rPr>
              <w:t xml:space="preserve">  检测范围:尿碘30-2000μg/L </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3.灵敏度：最小响应值为≥1μg/L的碘含量 </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4.加注器精度：定量加注，相对偏差(RD)在±2%以内</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5.重复性：变异系数（CV）≤6%  </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w:t>
            </w:r>
            <w:r>
              <w:rPr>
                <w:rFonts w:hint="eastAsia" w:ascii="宋体" w:hAnsi="宋体" w:cs="宋体"/>
                <w:b/>
                <w:bCs/>
                <w:i w:val="0"/>
                <w:iCs w:val="0"/>
                <w:color w:val="000000"/>
                <w:kern w:val="0"/>
                <w:sz w:val="22"/>
                <w:szCs w:val="22"/>
                <w:u w:val="none"/>
                <w:lang w:val="en-US" w:eastAsia="zh-CN" w:bidi="ar"/>
              </w:rPr>
              <w:t>6</w:t>
            </w:r>
            <w:r>
              <w:rPr>
                <w:rFonts w:hint="eastAsia" w:ascii="宋体" w:hAnsi="宋体" w:eastAsia="宋体" w:cs="宋体"/>
                <w:b/>
                <w:bCs/>
                <w:i w:val="0"/>
                <w:iCs w:val="0"/>
                <w:color w:val="000000"/>
                <w:kern w:val="0"/>
                <w:sz w:val="22"/>
                <w:szCs w:val="22"/>
                <w:u w:val="none"/>
                <w:lang w:val="en-US" w:eastAsia="zh-CN" w:bidi="ar"/>
              </w:rPr>
              <w:t>.准确度：测定国家碘标准物质，测定值在其允许范围内</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r>
              <w:rPr>
                <w:rFonts w:hint="eastAsia" w:ascii="宋体" w:hAnsi="宋体" w:eastAsia="宋体" w:cs="宋体"/>
                <w:b/>
                <w:bCs/>
                <w:i w:val="0"/>
                <w:iCs w:val="0"/>
                <w:color w:val="000000"/>
                <w:kern w:val="0"/>
                <w:sz w:val="22"/>
                <w:szCs w:val="22"/>
                <w:u w:val="none"/>
                <w:lang w:val="en-US" w:eastAsia="zh-CN" w:bidi="ar"/>
              </w:rPr>
              <w:t xml:space="preserve">.全自动操作：使用者只需加入待测样品且样品无需前处理，整个分析过程仪器自动完成， 1小时左右可检测50份样品 </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8.安全性：仪器的安全符合GB4793.1-2007、GB4793.9-2013和YY0648-2008适用要求</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9.产品组成：由主机部件、电脑及软件控制系统组成。软件可升级扩展</w:t>
            </w:r>
            <w:r>
              <w:rPr>
                <w:rFonts w:hint="eastAsia" w:ascii="宋体" w:hAnsi="宋体" w:cs="宋体"/>
                <w:b/>
                <w:bCs/>
                <w:i w:val="0"/>
                <w:iCs w:val="0"/>
                <w:color w:val="000000"/>
                <w:kern w:val="0"/>
                <w:sz w:val="22"/>
                <w:szCs w:val="22"/>
                <w:u w:val="none"/>
                <w:lang w:val="en-US" w:eastAsia="zh-CN" w:bidi="ar"/>
              </w:rPr>
              <w:t>。</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全自动免疫分析仪+轨道</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1.免疫方法学：采用电化学发光或直接化学发光。</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2.单模块检测速度：≥300测试/小时、单模块试剂通道：≥45个，自带5-10℃冷藏功能。</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3.具备样品凝块检出功能及样品探针堵孔报警和防碰撞功能、试管液面探测技术。</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4.采用轨道进样模式，同时在机样本管数量≥300个，并可连续装载。</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5.可在任何时间即时插入STAT急诊样品，即时测试，急诊项目检测时间≤9分钟.</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6.可以支持不停机的状态连续装载试剂盒及辅助耗材，试剂包装≥100测试，减少操作时间。</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7.试剂上机开瓶有效期大于100天。8.轨道传输速度＞2000管/小时，五管架式运输或单管运输。</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9.轨道运输时无需试管条码扫描，由轨道进入分析仪无需转换底座。</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10.轨道无需预留分析仪接口，可随时拓展连接生化免疫检测仪器.</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高能红外线治疗仪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1.能量主要分布范围400-1400nm，可产生WIRA光</w:t>
            </w:r>
            <w:r>
              <w:rPr>
                <w:rFonts w:hint="eastAsia" w:ascii="宋体" w:hAnsi="宋体" w:cs="宋体"/>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2.光源功率：≥730W、输入功率：≤900W</w:t>
            </w:r>
            <w:r>
              <w:rPr>
                <w:rFonts w:hint="eastAsia" w:ascii="宋体" w:hAnsi="宋体" w:cs="宋体"/>
                <w:b/>
                <w:bCs/>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3.光功率密度：出光口平面中心处光功率密度应≥800mw/㎝²</w:t>
            </w:r>
            <w:r>
              <w:rPr>
                <w:rFonts w:hint="eastAsia" w:ascii="宋体" w:hAnsi="宋体" w:cs="宋体"/>
                <w:b/>
                <w:bCs/>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4.出光口面积：≥100㎝²、有效照射面积：≥800㎝²、治疗深度：≥15cm</w:t>
            </w:r>
          </w:p>
          <w:p>
            <w:pPr>
              <w:keepNext w:val="0"/>
              <w:keepLines w:val="0"/>
              <w:widowControl/>
              <w:suppressLineNumbers w:val="0"/>
              <w:jc w:val="left"/>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5.升降方式：电动升降调整治疗高度，最大治疗高度≥1500mm</w:t>
            </w:r>
            <w:r>
              <w:rPr>
                <w:rFonts w:hint="eastAsia" w:ascii="宋体" w:hAnsi="宋体" w:cs="宋体"/>
                <w:b/>
                <w:bCs/>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6.治疗头调整：水平旋转角度≥90°，竖直旋转角度≥90°</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7.具有定时模式、过热保护、倾倒断电保护、软件升级接口</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神经外科脑牵开器</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1.合金亚光材质，不反光，球状牙槽连接器可与任何品牌的手术床匹配。</w:t>
            </w:r>
          </w:p>
          <w:p>
            <w:pPr>
              <w:keepNext w:val="0"/>
              <w:keepLines w:val="0"/>
              <w:widowControl/>
              <w:suppressLineNumbers w:val="0"/>
              <w:jc w:val="left"/>
              <w:textAlignment w:val="top"/>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2.张力臂连接头可旋转，可同时连接两根以上张力臂。</w:t>
            </w:r>
          </w:p>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3.固定底座1个、连接器1套、蛇形臂2根 、支撑杆1个、脑压板接头2个。</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神经外科动力系统配件</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1、与现有医院设备相兼容;</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2、马达类型：高速电钻马达, 耐高温高压消毒；</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3、钻头安装类型≤3步安装。</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4、马达长度≤9.1CM，马达直径EHS≤2.3CM、马达最高转速≥120000 RPM，可正反转、马达最大输出功率≥138W，马达最大扭矩：≥41mN-m。</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5、可预真空或常规蒸气高温高压消毒或环氧乙烷消毒。</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6、马达6万转/分20秒开20秒关，持续25分钟马达表面温度≤40°C，马达不需水冷却。</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7、附件：可旋转铣刀附件、可调节长度附件、弯钻头。</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8、专业显微管道≥8种。</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9、钻头：拥有≥300种不同形状、不同型号的钻头可满足各科手术选择。</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术中神经监测系统</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1.通道数≥16、灵敏度：EP：0.01uV—20mV，40级可调、 EMG：10，20，50，100，200，400uV，1，2，5mV每格可调、高频滤波：2-pole (12dB/octave)、低频滤波：2-pole、 (12dB/octave)、隔离模式抑制比：&gt;115dB、共模抑制比：&gt;110dB、</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2.电刺激器采用恒流、恒压分离设计；保证电刺激的安全性能。</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3.声音刺激器：刺激声强范围：-10-80dB nHL范围内分档可调，调节步长1dB、刺激频率为：0.5pps-30pps(脉冲/秒)范围内分档可调。</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4.视觉刺激器： 刺激器类型：LED闪光眼罩刺激器、刺激频率：1-10Hz、屏噪声：0-55dB。</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5.软件功能要求免费终身升级、监测项目包括脑电图、肌电图、体感诱发电位、运动诱发电位、脑干听觉诱发电位、视觉诱发电位、神经肌肉传递功能等。</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超声波治疗仪</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1.输出模式需包含连续输出和脉冲输出。</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2.输出频率16Hz，48Hz和100Hz、脉宽：0.5ms-50ms、超声频率单头需可实现双频输出：1 MHz和3 MHz。</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3.有效声强：0-2W/cm²持续，0-3W/cm²脉冲。</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4.具有治疗信息，包含文字信息，人体彩图部位信息，人体解剖图信息，方便治疗人员学习和找准治疗部位。</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5.实时显示治疗输出剂量，输出剂量应可随着探头与皮肤的接触面积变化而变化，以保证单位面积内输出能量稳定。</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6.带有自动报警功能、自检修复功能。</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7.探头：需配有5cm²探头（探头为防浸式设计，可用于水下治疗）。</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8.超声探头接触面积需可以重新校准。</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540" w:type="dxa"/>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智能采血台</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10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1.具备从医院HIS/LIS系统下载、反馈、记录等采血相关信息的功能，软件终身免费升级。</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按照医院场地灵活配制长度合适的采血工位、3.配置服务器1套，主频≥2.6G,内存2G,显示器≥19寸，硬盘≥500G、快速地输送试管标本，输送速度2-20m/min（可调）、采血桌可选配嵌入式自动混匀装置及生物安全防护装置。</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3.根据医院需求进行量身定做患者自动登记排队系统。</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4.智能真空采血管备管机，具备按照采血相关信息，自动在采血管仓中选择出正确的采血管的功能并打印、自动黏贴</w:t>
            </w:r>
            <w:r>
              <w:rPr>
                <w:rFonts w:hint="eastAsia" w:ascii="宋体" w:hAnsi="宋体" w:cs="宋体"/>
                <w:b/>
                <w:bCs/>
                <w:i w:val="0"/>
                <w:iCs w:val="0"/>
                <w:color w:val="000000"/>
                <w:kern w:val="0"/>
                <w:sz w:val="22"/>
                <w:szCs w:val="22"/>
                <w:u w:val="none"/>
                <w:lang w:val="en-US" w:eastAsia="zh-CN" w:bidi="ar"/>
              </w:rPr>
              <w:t>。</w:t>
            </w:r>
          </w:p>
        </w:tc>
        <w:tc>
          <w:tcPr>
            <w:tcW w:w="1923"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jc w:val="center"/>
              <w:rPr>
                <w:rFonts w:hint="eastAsia" w:ascii="宋体" w:hAnsi="宋体" w:eastAsia="宋体" w:cs="宋体"/>
                <w:b/>
                <w:bCs/>
                <w:i w:val="0"/>
                <w:iCs w:val="0"/>
                <w:color w:val="000000"/>
                <w:sz w:val="22"/>
                <w:szCs w:val="22"/>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YmVhN2RjZWYxMmJmZWM4ZTg2ODMwMjU4ZTNkYjQifQ=="/>
  </w:docVars>
  <w:rsids>
    <w:rsidRoot w:val="5B556CF6"/>
    <w:rsid w:val="029E312F"/>
    <w:rsid w:val="03913025"/>
    <w:rsid w:val="21D22B02"/>
    <w:rsid w:val="289C2625"/>
    <w:rsid w:val="5B556CF6"/>
    <w:rsid w:val="7C68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3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6049</Words>
  <Characters>6995</Characters>
  <Lines>0</Lines>
  <Paragraphs>0</Paragraphs>
  <TotalTime>2</TotalTime>
  <ScaleCrop>false</ScaleCrop>
  <LinksUpToDate>false</LinksUpToDate>
  <CharactersWithSpaces>7254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2022-06-14T00:42:00Z</dcterms:created>
  <dc:creator>Lily</dc:creator>
  <cp:lastModifiedBy>Lily</cp:lastModifiedBy>
  <dcterms:modified xsi:type="dcterms:W3CDTF">2022-06-17T02:15:46Z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D04084A55EDC4C848BB38C24DC48CDF8</vt:lpwstr>
  </property>
</Properties>
</file>